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4" w:rsidRDefault="007A7E84" w:rsidP="005E74BA">
      <w:pPr>
        <w:jc w:val="center"/>
        <w:rPr>
          <w:rFonts w:ascii="Calibri" w:hAnsi="Calibri"/>
          <w:b/>
          <w:i/>
          <w:sz w:val="24"/>
          <w:szCs w:val="24"/>
        </w:rPr>
      </w:pPr>
      <w:r w:rsidRPr="005E74BA">
        <w:rPr>
          <w:rFonts w:ascii="Calibri" w:hAnsi="Calibri"/>
          <w:b/>
          <w:i/>
          <w:sz w:val="24"/>
          <w:szCs w:val="24"/>
        </w:rPr>
        <w:t xml:space="preserve">Silent Barrage </w:t>
      </w:r>
      <w:r w:rsidRPr="005E74BA">
        <w:rPr>
          <w:rFonts w:ascii="Calibri" w:hAnsi="Calibri"/>
          <w:b/>
          <w:sz w:val="24"/>
          <w:szCs w:val="24"/>
        </w:rPr>
        <w:t xml:space="preserve">wins first prize in prestigious international art competition </w:t>
      </w:r>
      <w:r w:rsidRPr="005E74BA">
        <w:rPr>
          <w:rFonts w:ascii="Calibri" w:hAnsi="Calibri"/>
          <w:b/>
          <w:i/>
          <w:sz w:val="24"/>
          <w:szCs w:val="24"/>
        </w:rPr>
        <w:t xml:space="preserve">VIDA 12.0 </w:t>
      </w:r>
    </w:p>
    <w:p w:rsidR="005E74BA" w:rsidRPr="008C07CC" w:rsidRDefault="005E74BA" w:rsidP="005E74BA">
      <w:pPr>
        <w:jc w:val="center"/>
        <w:rPr>
          <w:rFonts w:ascii="Calibri" w:hAnsi="Calibri"/>
        </w:rPr>
      </w:pPr>
    </w:p>
    <w:p w:rsidR="007A7E84" w:rsidRPr="008C07CC" w:rsidRDefault="007A7E84" w:rsidP="00CF05B5">
      <w:pPr>
        <w:jc w:val="both"/>
        <w:rPr>
          <w:rFonts w:ascii="Calibri" w:hAnsi="Calibri"/>
        </w:rPr>
      </w:pPr>
      <w:r w:rsidRPr="008C07CC">
        <w:rPr>
          <w:rFonts w:ascii="Calibri" w:hAnsi="Calibri" w:cs="Arial"/>
          <w:color w:val="000000"/>
        </w:rPr>
        <w:t xml:space="preserve">Can the movement of an audience through a mechanical forest help to calm-down cultured nerve cells in a lab thousands of kilometres away? </w:t>
      </w:r>
      <w:r w:rsidRPr="008C07CC">
        <w:rPr>
          <w:rFonts w:ascii="Calibri" w:hAnsi="Calibri"/>
        </w:rPr>
        <w:t xml:space="preserve"> </w:t>
      </w:r>
      <w:r w:rsidRPr="008C07CC">
        <w:rPr>
          <w:rFonts w:ascii="Calibri" w:hAnsi="Calibri"/>
          <w:i/>
        </w:rPr>
        <w:t>Silent Barrage</w:t>
      </w:r>
      <w:r w:rsidRPr="008C07CC">
        <w:rPr>
          <w:rFonts w:ascii="Calibri" w:hAnsi="Calibri" w:cs="Arial"/>
          <w:color w:val="000000"/>
        </w:rPr>
        <w:t xml:space="preserve"> </w:t>
      </w:r>
      <w:r w:rsidRPr="008C07CC">
        <w:rPr>
          <w:rFonts w:ascii="Calibri" w:hAnsi="Calibri"/>
        </w:rPr>
        <w:t xml:space="preserve">has been awarded first place </w:t>
      </w:r>
      <w:r>
        <w:rPr>
          <w:rFonts w:ascii="Calibri" w:hAnsi="Calibri"/>
        </w:rPr>
        <w:t xml:space="preserve">and 18,000 Euros </w:t>
      </w:r>
      <w:r w:rsidRPr="008C07CC">
        <w:rPr>
          <w:rFonts w:ascii="Calibri" w:hAnsi="Calibri"/>
        </w:rPr>
        <w:t xml:space="preserve">in the </w:t>
      </w:r>
      <w:r w:rsidRPr="008C07CC">
        <w:rPr>
          <w:rFonts w:ascii="Calibri" w:hAnsi="Calibri" w:cs="Arial"/>
          <w:lang w:eastAsia="en-AU"/>
        </w:rPr>
        <w:t>prestigious international competition, VIDA 12.0, rewarding excellence in artistic creativity utilising new technologies and artificial life.</w:t>
      </w:r>
      <w:r w:rsidRPr="008C07CC">
        <w:rPr>
          <w:rFonts w:ascii="Calibri" w:hAnsi="Calibri"/>
        </w:rPr>
        <w:t xml:space="preserve"> </w:t>
      </w:r>
    </w:p>
    <w:p w:rsidR="007A7E84" w:rsidRPr="008C07CC" w:rsidRDefault="007A7E84" w:rsidP="00CF05B5">
      <w:pPr>
        <w:jc w:val="both"/>
        <w:rPr>
          <w:rFonts w:ascii="Calibri" w:hAnsi="Calibri"/>
        </w:rPr>
      </w:pPr>
    </w:p>
    <w:p w:rsidR="007A7E84" w:rsidRPr="008C07CC" w:rsidRDefault="007A7E84" w:rsidP="00F10BC9">
      <w:pPr>
        <w:jc w:val="both"/>
        <w:rPr>
          <w:rFonts w:ascii="Calibri" w:hAnsi="Calibri"/>
        </w:rPr>
      </w:pPr>
      <w:r w:rsidRPr="008C07CC">
        <w:rPr>
          <w:rFonts w:ascii="Calibri" w:hAnsi="Calibri"/>
          <w:i/>
        </w:rPr>
        <w:t xml:space="preserve">Silent Barrage </w:t>
      </w:r>
      <w:r w:rsidRPr="008C07CC">
        <w:rPr>
          <w:rFonts w:ascii="Calibri" w:hAnsi="Calibri"/>
        </w:rPr>
        <w:t>is</w:t>
      </w:r>
      <w:r w:rsidRPr="008C07CC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an </w:t>
      </w:r>
      <w:r w:rsidRPr="008C07CC">
        <w:rPr>
          <w:rFonts w:ascii="Calibri" w:hAnsi="Calibri"/>
        </w:rPr>
        <w:t>art and science collaboration between art researchers, Phil Gamblen</w:t>
      </w:r>
      <w:r>
        <w:rPr>
          <w:rFonts w:ascii="Calibri" w:hAnsi="Calibri"/>
        </w:rPr>
        <w:t xml:space="preserve">, </w:t>
      </w:r>
      <w:r w:rsidRPr="008C07CC">
        <w:rPr>
          <w:rFonts w:ascii="Calibri" w:hAnsi="Calibri"/>
        </w:rPr>
        <w:t>Guy Ben-Ary</w:t>
      </w:r>
      <w:r>
        <w:rPr>
          <w:rFonts w:ascii="Calibri" w:hAnsi="Calibri"/>
        </w:rPr>
        <w:t xml:space="preserve"> &amp; </w:t>
      </w:r>
      <w:r w:rsidRPr="007A3B36">
        <w:rPr>
          <w:rFonts w:ascii="Calibri" w:hAnsi="Calibri"/>
        </w:rPr>
        <w:t xml:space="preserve">engineer Peter Gee </w:t>
      </w:r>
      <w:r w:rsidRPr="008C07CC">
        <w:rPr>
          <w:rFonts w:ascii="Calibri" w:hAnsi="Calibri"/>
        </w:rPr>
        <w:t xml:space="preserve">from SymbioticA at The University of Western Australia, and scientists from Steve Potter’s </w:t>
      </w:r>
      <w:r w:rsidRPr="008C07CC">
        <w:rPr>
          <w:rFonts w:ascii="Calibri" w:hAnsi="Calibri" w:cs="Arial"/>
          <w:color w:val="000000"/>
        </w:rPr>
        <w:t>Laboratory</w:t>
      </w:r>
      <w:r w:rsidRPr="008C07CC">
        <w:rPr>
          <w:rFonts w:ascii="Calibri" w:hAnsi="Calibri"/>
        </w:rPr>
        <w:t xml:space="preserve"> for Neuroengineering at </w:t>
      </w:r>
      <w:r w:rsidRPr="008C07CC">
        <w:rPr>
          <w:rFonts w:ascii="Calibri" w:hAnsi="Calibri" w:cs="Arial"/>
        </w:rPr>
        <w:t>Georgia Institute of Technology</w:t>
      </w:r>
      <w:r w:rsidRPr="008C07CC">
        <w:rPr>
          <w:rFonts w:ascii="Calibri" w:hAnsi="Calibri"/>
        </w:rPr>
        <w:t>, Atlanta</w:t>
      </w:r>
      <w:r w:rsidRPr="008C07CC">
        <w:rPr>
          <w:rFonts w:ascii="Calibri" w:hAnsi="Calibri"/>
          <w:i/>
        </w:rPr>
        <w:t>.</w:t>
      </w:r>
      <w:r w:rsidRPr="008C07CC">
        <w:rPr>
          <w:rFonts w:ascii="Calibri" w:hAnsi="Calibri"/>
        </w:rPr>
        <w:t xml:space="preserve"> </w:t>
      </w:r>
    </w:p>
    <w:p w:rsidR="007A7E84" w:rsidRPr="008C07CC" w:rsidRDefault="007A7E84" w:rsidP="00F10BC9">
      <w:pPr>
        <w:jc w:val="both"/>
        <w:rPr>
          <w:rFonts w:ascii="Calibri" w:hAnsi="Calibri"/>
        </w:rPr>
      </w:pPr>
    </w:p>
    <w:p w:rsidR="007A7E84" w:rsidRPr="003050FA" w:rsidRDefault="007A7E84" w:rsidP="00F10BC9">
      <w:pPr>
        <w:jc w:val="both"/>
        <w:rPr>
          <w:rFonts w:ascii="Calibri" w:hAnsi="Calibri"/>
        </w:rPr>
      </w:pPr>
      <w:r w:rsidRPr="008C07CC">
        <w:rPr>
          <w:rFonts w:ascii="Calibri" w:hAnsi="Calibri"/>
        </w:rPr>
        <w:t xml:space="preserve">One of the very few real art and science works – in that it is both artistically meaningful and scientifically valid, Silent Barrage investigates the nature of thoughts, free will, and neural dysfunction. </w:t>
      </w:r>
      <w:r w:rsidRPr="003050FA">
        <w:rPr>
          <w:rFonts w:ascii="Calibri" w:hAnsi="Calibri"/>
        </w:rPr>
        <w:t xml:space="preserve">The installation consists of thirty-two sculptural robotic objects (the ‘robotic body’). Each of the objects amplifies and represents the electric activity that occurs in a real biological neural network (the ‘brain’) </w:t>
      </w:r>
      <w:r w:rsidR="003050FA" w:rsidRPr="003050FA">
        <w:rPr>
          <w:rFonts w:ascii="Calibri" w:hAnsi="Calibri"/>
        </w:rPr>
        <w:t>being</w:t>
      </w:r>
      <w:r w:rsidRPr="003050FA">
        <w:rPr>
          <w:rFonts w:ascii="Calibri" w:hAnsi="Calibri"/>
        </w:rPr>
        <w:t xml:space="preserve"> grown and nurtured in a Petri dish in Dr. Steve Potter’s lab. The behaviour of each robotic object is directly dependent on the signals generated by the neural network. </w:t>
      </w:r>
      <w:r w:rsidR="003050FA" w:rsidRPr="003050FA">
        <w:rPr>
          <w:rFonts w:ascii="Calibri" w:hAnsi="Calibri"/>
        </w:rPr>
        <w:t>The internet serves as the interface between the robotic body and its remote brain</w:t>
      </w:r>
      <w:r w:rsidRPr="003050FA">
        <w:rPr>
          <w:rFonts w:ascii="Calibri" w:hAnsi="Calibri"/>
        </w:rPr>
        <w:t xml:space="preserve">. </w:t>
      </w:r>
      <w:r w:rsidR="003050FA" w:rsidRPr="003050FA">
        <w:rPr>
          <w:rFonts w:ascii="Calibri" w:hAnsi="Calibri"/>
        </w:rPr>
        <w:t>The audience is invited to interact with the neural network by moving through the space where their actions are picked up and transmitted to the neural network, completing a closed feedback loop between the robotic objects (and viewers) in the gallery and the neurons in the lab</w:t>
      </w:r>
    </w:p>
    <w:p w:rsidR="003050FA" w:rsidRPr="008C07CC" w:rsidRDefault="003050FA" w:rsidP="00F10BC9">
      <w:pPr>
        <w:jc w:val="both"/>
        <w:rPr>
          <w:rFonts w:ascii="Calibri" w:hAnsi="Calibri" w:cs="Arial"/>
          <w:color w:val="000000"/>
        </w:rPr>
      </w:pPr>
    </w:p>
    <w:p w:rsidR="007A7E84" w:rsidRPr="007E0512" w:rsidRDefault="007A7E84" w:rsidP="007E0512">
      <w:pPr>
        <w:jc w:val="both"/>
        <w:rPr>
          <w:rFonts w:ascii="Calibri" w:hAnsi="Calibri"/>
          <w:color w:val="000000"/>
        </w:rPr>
      </w:pPr>
      <w:r w:rsidRPr="008C07CC">
        <w:rPr>
          <w:rFonts w:ascii="Calibri" w:hAnsi="Calibri"/>
        </w:rPr>
        <w:t>A pioneer in the field of artificial life, Fundación Telefónica’s VIDA Competi</w:t>
      </w:r>
      <w:r>
        <w:rPr>
          <w:rFonts w:ascii="Calibri" w:hAnsi="Calibri"/>
        </w:rPr>
        <w:t>tion not only rewards excellence</w:t>
      </w:r>
      <w:r w:rsidRPr="008C07CC">
        <w:rPr>
          <w:rFonts w:ascii="Calibri" w:hAnsi="Calibri"/>
        </w:rPr>
        <w:t xml:space="preserve"> within artificial life art, but has over the past decade become a fundamen</w:t>
      </w:r>
      <w:r>
        <w:rPr>
          <w:rFonts w:ascii="Calibri" w:hAnsi="Calibri"/>
        </w:rPr>
        <w:t xml:space="preserve">tal archive of the evolution of </w:t>
      </w:r>
      <w:r w:rsidRPr="008C07CC">
        <w:rPr>
          <w:rFonts w:ascii="Calibri" w:hAnsi="Calibri"/>
        </w:rPr>
        <w:t>electronic art in one of its most significant aspects.</w:t>
      </w:r>
      <w:r>
        <w:rPr>
          <w:rFonts w:ascii="Calibri" w:hAnsi="Calibri" w:cs="Arial"/>
          <w:color w:val="000000"/>
        </w:rPr>
        <w:t xml:space="preserve"> </w:t>
      </w:r>
      <w:r w:rsidRPr="00694655">
        <w:rPr>
          <w:rFonts w:ascii="Calibri" w:hAnsi="Calibri" w:cs="Arial"/>
          <w:color w:val="000000"/>
        </w:rPr>
        <w:t>VIDA awards have in the past been interested in art work that bridges the gap between "invisible" biological ac</w:t>
      </w:r>
      <w:r>
        <w:rPr>
          <w:rFonts w:ascii="Calibri" w:hAnsi="Calibri" w:cs="Arial"/>
          <w:color w:val="000000"/>
        </w:rPr>
        <w:t>tivity and the exhibition space.</w:t>
      </w:r>
      <w:r w:rsidRPr="00694655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The VIDA 12.0 jury awarded </w:t>
      </w:r>
      <w:r>
        <w:rPr>
          <w:rFonts w:ascii="Calibri" w:hAnsi="Calibri" w:cs="Arial"/>
          <w:i/>
          <w:color w:val="000000"/>
        </w:rPr>
        <w:t xml:space="preserve">Silent Barrage </w:t>
      </w:r>
      <w:r>
        <w:rPr>
          <w:rFonts w:ascii="Calibri" w:hAnsi="Calibri" w:cs="Arial"/>
          <w:color w:val="000000"/>
        </w:rPr>
        <w:t xml:space="preserve">first place due to its </w:t>
      </w:r>
      <w:r w:rsidRPr="00694655">
        <w:rPr>
          <w:rFonts w:ascii="Calibri" w:hAnsi="Calibri" w:cs="Arial"/>
          <w:color w:val="000000"/>
        </w:rPr>
        <w:t>remarkable and surprising sculptural manifestation of neural activity</w:t>
      </w:r>
      <w:r>
        <w:rPr>
          <w:rFonts w:ascii="Calibri" w:hAnsi="Calibri" w:cs="Arial"/>
          <w:color w:val="000000"/>
        </w:rPr>
        <w:t xml:space="preserve">. </w:t>
      </w:r>
      <w:r w:rsidRPr="008C07CC">
        <w:rPr>
          <w:rFonts w:ascii="Calibri" w:hAnsi="Calibri"/>
        </w:rPr>
        <w:t xml:space="preserve">As part of the prize, Silent Barrage will be exhibited </w:t>
      </w:r>
      <w:r w:rsidR="003050FA">
        <w:rPr>
          <w:rFonts w:ascii="Calibri" w:hAnsi="Calibri"/>
        </w:rPr>
        <w:t xml:space="preserve">in a scaled down version of nine poles) </w:t>
      </w:r>
      <w:r>
        <w:rPr>
          <w:rFonts w:ascii="Calibri" w:hAnsi="Calibri"/>
        </w:rPr>
        <w:t>at</w:t>
      </w:r>
      <w:r w:rsidRPr="008C07CC">
        <w:rPr>
          <w:rFonts w:ascii="Calibri" w:hAnsi="Calibri"/>
        </w:rPr>
        <w:t xml:space="preserve"> ARCOmadrid, the 29</w:t>
      </w:r>
      <w:r w:rsidRPr="008C07C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International </w:t>
      </w:r>
      <w:r w:rsidRPr="008C07CC">
        <w:rPr>
          <w:rFonts w:ascii="Calibri" w:hAnsi="Calibri"/>
        </w:rPr>
        <w:t>Contemporary Art Fair, Spain, in February 2010</w:t>
      </w:r>
      <w:r>
        <w:rPr>
          <w:rFonts w:ascii="Calibri" w:hAnsi="Calibri"/>
        </w:rPr>
        <w:t>. The Jury was</w:t>
      </w:r>
      <w:r w:rsidRPr="00682C13">
        <w:rPr>
          <w:rFonts w:ascii="Calibri" w:hAnsi="Calibri"/>
          <w:color w:val="000000"/>
        </w:rPr>
        <w:t xml:space="preserve"> struck </w:t>
      </w:r>
      <w:r>
        <w:rPr>
          <w:rFonts w:ascii="Calibri" w:hAnsi="Calibri"/>
          <w:color w:val="000000"/>
        </w:rPr>
        <w:t xml:space="preserve">by </w:t>
      </w:r>
      <w:r w:rsidR="00CE7559" w:rsidRPr="00CE7559">
        <w:rPr>
          <w:rFonts w:ascii="Calibri" w:hAnsi="Calibri"/>
          <w:i/>
          <w:color w:val="000000"/>
        </w:rPr>
        <w:t>Silent Barrage</w:t>
      </w:r>
      <w:r>
        <w:rPr>
          <w:rFonts w:ascii="Calibri" w:hAnsi="Calibri"/>
          <w:color w:val="000000"/>
        </w:rPr>
        <w:t xml:space="preserve">’s </w:t>
      </w:r>
      <w:r w:rsidRPr="00682C13">
        <w:rPr>
          <w:rFonts w:ascii="Calibri" w:hAnsi="Calibri"/>
          <w:color w:val="000000"/>
        </w:rPr>
        <w:t>remarkable and surprising sculptural ma</w:t>
      </w:r>
      <w:r>
        <w:rPr>
          <w:rFonts w:ascii="Calibri" w:hAnsi="Calibri"/>
          <w:color w:val="000000"/>
        </w:rPr>
        <w:t>nifestation of neural activity</w:t>
      </w:r>
      <w:r w:rsidRPr="00682C13">
        <w:rPr>
          <w:rFonts w:ascii="Calibri" w:hAnsi="Calibri"/>
          <w:color w:val="000000"/>
        </w:rPr>
        <w:t xml:space="preserve"> as a fascinating model of</w:t>
      </w:r>
      <w:r>
        <w:rPr>
          <w:rFonts w:ascii="Calibri" w:hAnsi="Calibri"/>
          <w:color w:val="000000"/>
        </w:rPr>
        <w:t xml:space="preserve"> </w:t>
      </w:r>
      <w:r w:rsidRPr="00682C13">
        <w:rPr>
          <w:rFonts w:ascii="Calibri" w:hAnsi="Calibri"/>
          <w:color w:val="000000"/>
        </w:rPr>
        <w:t>neural interconnectivity itself. VIDA awards have in the past been interested in art work that</w:t>
      </w:r>
      <w:r>
        <w:rPr>
          <w:rFonts w:ascii="Calibri" w:hAnsi="Calibri"/>
          <w:color w:val="000000"/>
        </w:rPr>
        <w:t xml:space="preserve"> </w:t>
      </w:r>
      <w:r w:rsidRPr="00682C13">
        <w:rPr>
          <w:rFonts w:ascii="Calibri" w:hAnsi="Calibri"/>
          <w:color w:val="000000"/>
        </w:rPr>
        <w:t>bridges the gap between "invisible" biological activity and the exhibition space: Silent Barrage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/>
        </w:rPr>
        <w:t xml:space="preserve">The work will be exhibited in July at Art.ficial – the Sao Paolo Art and Technology International Biennale, </w:t>
      </w:r>
      <w:smartTag w:uri="urn:schemas-microsoft-com:office:smarttags" w:element="State">
        <w:r>
          <w:rPr>
            <w:rFonts w:ascii="Calibri" w:hAnsi="Calibri"/>
          </w:rPr>
          <w:t>Brazil</w:t>
        </w:r>
      </w:smartTag>
      <w:r w:rsidRPr="008C07CC">
        <w:rPr>
          <w:rFonts w:ascii="Calibri" w:hAnsi="Calibri"/>
        </w:rPr>
        <w:t xml:space="preserve">. </w:t>
      </w:r>
    </w:p>
    <w:p w:rsidR="007A7E84" w:rsidRPr="008C07CC" w:rsidRDefault="007A7E84" w:rsidP="00F10BC9">
      <w:pPr>
        <w:jc w:val="both"/>
        <w:rPr>
          <w:rFonts w:ascii="Calibri" w:hAnsi="Calibri" w:cs="Arial"/>
          <w:color w:val="000000"/>
        </w:rPr>
      </w:pPr>
    </w:p>
    <w:p w:rsidR="007A7E84" w:rsidRPr="008C07CC" w:rsidRDefault="007A7E84" w:rsidP="00E10113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8C07CC">
        <w:rPr>
          <w:rFonts w:ascii="Calibri" w:hAnsi="Calibri" w:cs="Arial"/>
          <w:i/>
          <w:iCs/>
        </w:rPr>
        <w:t xml:space="preserve">Silent Barrage </w:t>
      </w:r>
      <w:r w:rsidRPr="008C07CC">
        <w:rPr>
          <w:rFonts w:ascii="Calibri" w:hAnsi="Calibri" w:cs="Arial"/>
          <w:iCs/>
        </w:rPr>
        <w:t>was developed by</w:t>
      </w:r>
      <w:r w:rsidRPr="008C07CC">
        <w:rPr>
          <w:rFonts w:ascii="Calibri" w:hAnsi="Calibri" w:cs="Arial"/>
        </w:rPr>
        <w:t xml:space="preserve"> Guy Ben-Ary and Philip Gamblen, with Peter Gee, Dr. Nathan Scott and Brett Murray, hosted by SymbioticA in collaboration with Dr. Steve Potter Lab (Dr. Steve Potter, Douglas Swehla &amp; Stephen Bobic) at Georgia Institute of Technology. Silent Barrage evolved from the</w:t>
      </w:r>
      <w:r w:rsidRPr="008C07CC">
        <w:rPr>
          <w:rFonts w:ascii="Calibri" w:hAnsi="Calibri" w:cs="Arial"/>
          <w:i/>
        </w:rPr>
        <w:t xml:space="preserve"> Fish and Chips </w:t>
      </w:r>
      <w:r>
        <w:rPr>
          <w:rFonts w:ascii="Calibri" w:hAnsi="Calibri" w:cs="Arial"/>
        </w:rPr>
        <w:t xml:space="preserve">&amp; </w:t>
      </w:r>
      <w:r w:rsidRPr="007A3B36">
        <w:rPr>
          <w:rFonts w:ascii="Calibri" w:hAnsi="Calibri" w:cs="Arial"/>
          <w:i/>
        </w:rPr>
        <w:t>MEART - the semi living artist</w:t>
      </w:r>
      <w:r w:rsidRPr="007A3B36">
        <w:rPr>
          <w:rFonts w:ascii="Calibri" w:hAnsi="Calibri" w:cs="Arial"/>
        </w:rPr>
        <w:t xml:space="preserve"> projects</w:t>
      </w:r>
      <w:r>
        <w:rPr>
          <w:rFonts w:ascii="Calibri" w:hAnsi="Calibri" w:cs="Arial"/>
        </w:rPr>
        <w:t xml:space="preserve"> </w:t>
      </w:r>
      <w:r w:rsidRPr="008C07CC">
        <w:rPr>
          <w:rFonts w:ascii="Calibri" w:hAnsi="Calibri" w:cs="Arial"/>
        </w:rPr>
        <w:t xml:space="preserve">established in 2000 at SymbioticA. </w:t>
      </w:r>
      <w:r>
        <w:rPr>
          <w:rFonts w:ascii="Calibri" w:hAnsi="Calibri" w:cs="Arial"/>
        </w:rPr>
        <w:t>The award coincides with SymbioticA’s tenth anniversary.</w:t>
      </w:r>
    </w:p>
    <w:p w:rsidR="007A7E84" w:rsidRPr="008C07CC" w:rsidRDefault="007A7E84" w:rsidP="00E10113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A7E84" w:rsidRPr="008C07CC" w:rsidRDefault="005E74BA" w:rsidP="00E10113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5E74BA">
        <w:rPr>
          <w:rFonts w:ascii="Calibri" w:hAnsi="Calibri" w:cs="Arial"/>
        </w:rPr>
        <w:t xml:space="preserve">SymbioticA, located within the School of Anatomy and Human Biology at The University of Western Australia, is an artistic laboratory dedicated to the research, learning, critique and hands-on engagement with the life sciences.  Steve Potter’s Laboratory, one of nine groups in Georgia Tech’s Laboratory for Neuroengineering, develops new neuroscience technologies, such as embodied cultured networks, for studying </w:t>
      </w:r>
      <w:r w:rsidRPr="005E74BA">
        <w:rPr>
          <w:rFonts w:ascii="Calibri" w:hAnsi="Calibri" w:cs="Arial"/>
          <w:bCs/>
        </w:rPr>
        <w:t>learning and memory</w:t>
      </w:r>
      <w:r w:rsidRPr="005E74BA">
        <w:rPr>
          <w:rFonts w:ascii="Calibri" w:hAnsi="Calibri" w:cs="Arial"/>
          <w:b/>
          <w:bCs/>
        </w:rPr>
        <w:t xml:space="preserve"> </w:t>
      </w:r>
      <w:r w:rsidRPr="005E74BA">
        <w:rPr>
          <w:rFonts w:ascii="Calibri" w:hAnsi="Calibri" w:cs="Arial"/>
        </w:rPr>
        <w:t>in vitro. Their research is funded by the National Institutes of Health, the National Science Foundation, and the Coulter Foundation.</w:t>
      </w:r>
      <w:r>
        <w:rPr>
          <w:rFonts w:ascii="Calibri" w:hAnsi="Calibri" w:cs="Arial"/>
        </w:rPr>
        <w:t xml:space="preserve"> </w:t>
      </w:r>
      <w:r w:rsidR="007A7E84">
        <w:rPr>
          <w:rFonts w:ascii="Calibri" w:hAnsi="Calibri"/>
        </w:rPr>
        <w:t xml:space="preserve">Ben-Ary and Gamblen’s research at the Potter Lab in 2006 was supported by the Australia Council New Media Arts Board. </w:t>
      </w:r>
      <w:r w:rsidR="007A7E84" w:rsidRPr="008C07CC">
        <w:rPr>
          <w:rFonts w:ascii="Calibri" w:hAnsi="Calibri"/>
          <w:i/>
          <w:color w:val="000000"/>
          <w:lang w:val="en-US"/>
        </w:rPr>
        <w:t>Silent Barrage</w:t>
      </w:r>
      <w:r w:rsidR="007A7E84" w:rsidRPr="008C07CC">
        <w:rPr>
          <w:rFonts w:ascii="Calibri" w:hAnsi="Calibri"/>
          <w:color w:val="000000"/>
          <w:lang w:val="en-US"/>
        </w:rPr>
        <w:t xml:space="preserve"> has been assisted by the State of </w:t>
      </w:r>
      <w:smartTag w:uri="urn:schemas-microsoft-com:office:smarttags" w:element="State">
        <w:r w:rsidR="007A7E84" w:rsidRPr="008C07CC">
          <w:rPr>
            <w:rFonts w:ascii="Calibri" w:hAnsi="Calibri"/>
            <w:color w:val="000000"/>
            <w:lang w:val="en-US"/>
          </w:rPr>
          <w:t>Western Australia</w:t>
        </w:r>
      </w:smartTag>
      <w:r w:rsidR="007A7E84" w:rsidRPr="008C07CC">
        <w:rPr>
          <w:rFonts w:ascii="Calibri" w:hAnsi="Calibri"/>
          <w:color w:val="000000"/>
          <w:lang w:val="en-US"/>
        </w:rPr>
        <w:t xml:space="preserve"> through the Department of Culture and the Arts.</w:t>
      </w:r>
    </w:p>
    <w:p w:rsidR="007A7E84" w:rsidRPr="008C07CC" w:rsidRDefault="007A7E84" w:rsidP="004E237A">
      <w:pPr>
        <w:suppressAutoHyphens w:val="0"/>
        <w:autoSpaceDE w:val="0"/>
        <w:autoSpaceDN w:val="0"/>
        <w:adjustRightInd w:val="0"/>
        <w:rPr>
          <w:rFonts w:ascii="Calibri" w:hAnsi="Calibri" w:cs="LucidaSansUnicode"/>
          <w:color w:val="000000"/>
        </w:rPr>
      </w:pPr>
    </w:p>
    <w:p w:rsidR="007A7E84" w:rsidRPr="008C07CC" w:rsidRDefault="007A7E84" w:rsidP="008C07CC">
      <w:pPr>
        <w:suppressAutoHyphens w:val="0"/>
        <w:autoSpaceDE w:val="0"/>
        <w:autoSpaceDN w:val="0"/>
        <w:adjustRightInd w:val="0"/>
        <w:rPr>
          <w:rFonts w:ascii="Calibri" w:hAnsi="Calibri" w:cs="LucidaSansUnicode"/>
          <w:color w:val="0000FF"/>
        </w:rPr>
      </w:pPr>
      <w:r w:rsidRPr="008C07CC">
        <w:rPr>
          <w:rFonts w:ascii="Calibri" w:hAnsi="Calibri" w:cs="LucidaSansUnicode"/>
          <w:color w:val="000000"/>
        </w:rPr>
        <w:t xml:space="preserve">For more information, visit: </w:t>
      </w:r>
      <w:hyperlink r:id="rId6" w:history="1">
        <w:r w:rsidRPr="008C07CC">
          <w:rPr>
            <w:rStyle w:val="Hyperlink"/>
            <w:rFonts w:ascii="Calibri" w:hAnsi="Calibri" w:cs="LucidaSansUnicode"/>
          </w:rPr>
          <w:t>http://www.symbiotica.uwa.edu.au/silentbarrage</w:t>
        </w:r>
      </w:hyperlink>
    </w:p>
    <w:p w:rsidR="007A7E84" w:rsidRDefault="007A7E84" w:rsidP="008C07CC">
      <w:pPr>
        <w:suppressAutoHyphens w:val="0"/>
        <w:autoSpaceDE w:val="0"/>
        <w:autoSpaceDN w:val="0"/>
        <w:adjustRightInd w:val="0"/>
        <w:rPr>
          <w:rFonts w:ascii="Calibri" w:hAnsi="Calibri" w:cs="LucidaSansUnicode"/>
        </w:rPr>
      </w:pPr>
      <w:r w:rsidRPr="008C07CC">
        <w:rPr>
          <w:rFonts w:ascii="Calibri" w:hAnsi="Calibri" w:cs="LucidaSansUnicode"/>
        </w:rPr>
        <w:t xml:space="preserve">For enquiries contact </w:t>
      </w:r>
      <w:r w:rsidR="005E74BA">
        <w:rPr>
          <w:rFonts w:ascii="Calibri" w:hAnsi="Calibri" w:cs="LucidaSansUnicode"/>
        </w:rPr>
        <w:t>Guy Ben-Ary</w:t>
      </w:r>
      <w:r w:rsidRPr="008C07CC">
        <w:rPr>
          <w:rFonts w:ascii="Calibri" w:hAnsi="Calibri" w:cs="LucidaSansUnicode"/>
        </w:rPr>
        <w:t xml:space="preserve"> on: </w:t>
      </w:r>
      <w:hyperlink r:id="rId7" w:history="1">
        <w:r w:rsidR="005E74BA">
          <w:rPr>
            <w:rStyle w:val="Hyperlink"/>
            <w:rFonts w:ascii="Calibri" w:hAnsi="Calibri" w:cs="LucidaSansUnicode"/>
          </w:rPr>
          <w:t>guyba@cyllene.uwa.edu.au</w:t>
        </w:r>
      </w:hyperlink>
    </w:p>
    <w:tbl>
      <w:tblPr>
        <w:tblW w:w="0" w:type="auto"/>
        <w:tblLook w:val="00A0"/>
      </w:tblPr>
      <w:tblGrid>
        <w:gridCol w:w="5495"/>
        <w:gridCol w:w="3747"/>
      </w:tblGrid>
      <w:tr w:rsidR="007A7E84">
        <w:trPr>
          <w:trHeight w:val="714"/>
        </w:trPr>
        <w:tc>
          <w:tcPr>
            <w:tcW w:w="5495" w:type="dxa"/>
          </w:tcPr>
          <w:p w:rsidR="007A7E84" w:rsidRPr="008B7557" w:rsidRDefault="005E74BA" w:rsidP="008B755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LucidaSansUnicode"/>
                <w:sz w:val="12"/>
                <w:szCs w:val="1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635</wp:posOffset>
                  </wp:positionV>
                  <wp:extent cx="3314065" cy="445135"/>
                  <wp:effectExtent l="19050" t="0" r="635" b="0"/>
                  <wp:wrapSquare wrapText="bothSides"/>
                  <wp:docPr id="4" name="Picture 0" descr="Symb-UWA-DCA-200dpi-rgbx2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ymb-UWA-DCA-200dpi-rgbx2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6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7" w:type="dxa"/>
          </w:tcPr>
          <w:p w:rsidR="007A7E84" w:rsidRPr="008B7557" w:rsidRDefault="007A7E84" w:rsidP="008B755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LucidaSansUnicode"/>
                <w:sz w:val="12"/>
                <w:szCs w:val="12"/>
              </w:rPr>
            </w:pPr>
            <w:r w:rsidRPr="008B7557">
              <w:rPr>
                <w:rFonts w:ascii="Calibri" w:hAnsi="Calibri" w:cs="LucidaSansUnicode"/>
                <w:sz w:val="12"/>
                <w:szCs w:val="12"/>
              </w:rPr>
              <w:t>SymbioticA, The Centre of Excellence in Biological Arts is a jointly funded initiative between The University of Western Australia and the Western Australian Department of Culture and the Arts.</w:t>
            </w:r>
          </w:p>
        </w:tc>
      </w:tr>
    </w:tbl>
    <w:p w:rsidR="007A7E84" w:rsidRPr="008C07CC" w:rsidRDefault="005E74BA" w:rsidP="008C07CC">
      <w:pPr>
        <w:suppressAutoHyphens w:val="0"/>
        <w:autoSpaceDE w:val="0"/>
        <w:autoSpaceDN w:val="0"/>
        <w:adjustRightInd w:val="0"/>
        <w:rPr>
          <w:rFonts w:ascii="Calibri" w:hAnsi="Calibri" w:cs="LucidaSansUnicode"/>
        </w:rPr>
      </w:pPr>
      <w:r>
        <w:rPr>
          <w:rFonts w:ascii="Calibri" w:hAnsi="Calibri" w:cs="LucidaSansUnicode"/>
          <w:noProof/>
          <w:lang w:val="en-US"/>
        </w:rPr>
        <w:drawing>
          <wp:inline distT="0" distB="0" distL="0" distR="0">
            <wp:extent cx="1101725" cy="382905"/>
            <wp:effectExtent l="19050" t="0" r="3175" b="0"/>
            <wp:docPr id="8" name="Picture 1" descr="::Desktop:NeuroLa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NeuroLabLogo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LucidaSansUnicode"/>
          <w:noProof/>
          <w:lang w:val="en-US"/>
        </w:rPr>
        <w:drawing>
          <wp:inline distT="0" distB="0" distL="0" distR="0">
            <wp:extent cx="1101725" cy="367030"/>
            <wp:effectExtent l="19050" t="0" r="3175" b="0"/>
            <wp:docPr id="2" name="Picture 2" descr="::Desktop:GIT logo w_camp 4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GIT logo w_camp 4 co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E84" w:rsidRPr="008C07CC" w:rsidSect="00C913C5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1C" w:rsidRDefault="007A191C" w:rsidP="00340259">
      <w:r>
        <w:separator/>
      </w:r>
    </w:p>
  </w:endnote>
  <w:endnote w:type="continuationSeparator" w:id="0">
    <w:p w:rsidR="007A191C" w:rsidRDefault="007A191C" w:rsidP="0034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1C" w:rsidRDefault="007A191C" w:rsidP="00340259">
      <w:r>
        <w:separator/>
      </w:r>
    </w:p>
  </w:footnote>
  <w:footnote w:type="continuationSeparator" w:id="0">
    <w:p w:rsidR="007A191C" w:rsidRDefault="007A191C" w:rsidP="00340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A43"/>
    <w:rsid w:val="00006DE4"/>
    <w:rsid w:val="000D49EE"/>
    <w:rsid w:val="000E61E4"/>
    <w:rsid w:val="00187FA0"/>
    <w:rsid w:val="001A73A4"/>
    <w:rsid w:val="001A7423"/>
    <w:rsid w:val="001F1AFA"/>
    <w:rsid w:val="0020287E"/>
    <w:rsid w:val="00227A43"/>
    <w:rsid w:val="0024247A"/>
    <w:rsid w:val="00250F61"/>
    <w:rsid w:val="00260CEF"/>
    <w:rsid w:val="003028C2"/>
    <w:rsid w:val="003050FA"/>
    <w:rsid w:val="00321CF1"/>
    <w:rsid w:val="00340259"/>
    <w:rsid w:val="003964D4"/>
    <w:rsid w:val="00423EBD"/>
    <w:rsid w:val="0046042D"/>
    <w:rsid w:val="0049429A"/>
    <w:rsid w:val="004A4CC7"/>
    <w:rsid w:val="004E237A"/>
    <w:rsid w:val="004E3E2C"/>
    <w:rsid w:val="004E6CC7"/>
    <w:rsid w:val="005A53A7"/>
    <w:rsid w:val="005E74BA"/>
    <w:rsid w:val="005F5640"/>
    <w:rsid w:val="00615130"/>
    <w:rsid w:val="006754C7"/>
    <w:rsid w:val="00676E0E"/>
    <w:rsid w:val="00682C13"/>
    <w:rsid w:val="00694655"/>
    <w:rsid w:val="00754BFF"/>
    <w:rsid w:val="007A1651"/>
    <w:rsid w:val="007A191C"/>
    <w:rsid w:val="007A3B36"/>
    <w:rsid w:val="007A6185"/>
    <w:rsid w:val="007A7E84"/>
    <w:rsid w:val="007C5B3D"/>
    <w:rsid w:val="007E0512"/>
    <w:rsid w:val="007E0B82"/>
    <w:rsid w:val="00847C99"/>
    <w:rsid w:val="008B13C6"/>
    <w:rsid w:val="008B7557"/>
    <w:rsid w:val="008C07CC"/>
    <w:rsid w:val="00913B1B"/>
    <w:rsid w:val="00975D76"/>
    <w:rsid w:val="00A5474E"/>
    <w:rsid w:val="00A65FE6"/>
    <w:rsid w:val="00A942CD"/>
    <w:rsid w:val="00AE2DF6"/>
    <w:rsid w:val="00B4564B"/>
    <w:rsid w:val="00B6406D"/>
    <w:rsid w:val="00C026B1"/>
    <w:rsid w:val="00C46ED8"/>
    <w:rsid w:val="00C642B7"/>
    <w:rsid w:val="00C913C5"/>
    <w:rsid w:val="00CE7559"/>
    <w:rsid w:val="00CF05B5"/>
    <w:rsid w:val="00D04519"/>
    <w:rsid w:val="00D6659D"/>
    <w:rsid w:val="00DB2420"/>
    <w:rsid w:val="00DF6FF8"/>
    <w:rsid w:val="00E10113"/>
    <w:rsid w:val="00E27808"/>
    <w:rsid w:val="00E30E12"/>
    <w:rsid w:val="00E84D25"/>
    <w:rsid w:val="00F10BC9"/>
    <w:rsid w:val="00F20EA3"/>
    <w:rsid w:val="00F27BDD"/>
    <w:rsid w:val="00F41B1D"/>
    <w:rsid w:val="00F4776C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0"/>
    <w:pPr>
      <w:suppressAutoHyphens/>
    </w:pPr>
    <w:rPr>
      <w:rFonts w:ascii="Times New Roman" w:eastAsia="Times New Roman" w:hAnsi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7FA0"/>
    <w:pPr>
      <w:suppressAutoHyphens w:val="0"/>
    </w:pPr>
    <w:rPr>
      <w:rFonts w:ascii="RotisSansSerif" w:hAnsi="RotisSansSerif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FA0"/>
    <w:rPr>
      <w:rFonts w:ascii="RotisSansSerif" w:hAnsi="RotisSansSerif" w:cs="Times New Roman"/>
      <w:i/>
      <w:iCs/>
    </w:rPr>
  </w:style>
  <w:style w:type="character" w:styleId="Strong">
    <w:name w:val="Strong"/>
    <w:basedOn w:val="DefaultParagraphFont"/>
    <w:uiPriority w:val="99"/>
    <w:qFormat/>
    <w:rsid w:val="00E10113"/>
    <w:rPr>
      <w:rFonts w:cs="Times New Roman"/>
      <w:b/>
      <w:bCs/>
    </w:rPr>
  </w:style>
  <w:style w:type="character" w:customStyle="1" w:styleId="latin">
    <w:name w:val="latin"/>
    <w:basedOn w:val="DefaultParagraphFont"/>
    <w:uiPriority w:val="99"/>
    <w:rsid w:val="00E10113"/>
    <w:rPr>
      <w:rFonts w:cs="Times New Roman"/>
    </w:rPr>
  </w:style>
  <w:style w:type="character" w:styleId="Hyperlink">
    <w:name w:val="Hyperlink"/>
    <w:basedOn w:val="DefaultParagraphFont"/>
    <w:uiPriority w:val="99"/>
    <w:rsid w:val="008C07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40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025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40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025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5F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ane@symbiotica.uwa.edu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mbiotica.uwa.edu.au/silentbarrag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RELEASE:  EMBARGOED UNTIL 18 February, 2010</vt:lpstr>
    </vt:vector>
  </TitlesOfParts>
  <Company>School of Anatomy &amp; Human Biology - UWA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 EMBARGOED UNTIL 18 February, 2010</dc:title>
  <dc:creator>aalderson</dc:creator>
  <cp:lastModifiedBy>guyba</cp:lastModifiedBy>
  <cp:revision>2</cp:revision>
  <cp:lastPrinted>2010-02-08T06:03:00Z</cp:lastPrinted>
  <dcterms:created xsi:type="dcterms:W3CDTF">2010-05-28T03:02:00Z</dcterms:created>
  <dcterms:modified xsi:type="dcterms:W3CDTF">2010-05-28T03:02:00Z</dcterms:modified>
</cp:coreProperties>
</file>